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市对县转移支付项目支出绩效自评报告范本</w:t>
      </w:r>
    </w:p>
    <w:p>
      <w:pPr>
        <w:pStyle w:val="6"/>
        <w:spacing w:line="600" w:lineRule="exact"/>
        <w:ind w:firstLine="640"/>
        <w:jc w:val="center"/>
        <w:rPr>
          <w:rFonts w:hint="eastAsia" w:ascii="宋体" w:hAnsi="宋体" w:eastAsia="宋体"/>
          <w:color w:val="auto"/>
          <w:kern w:val="2"/>
          <w:sz w:val="32"/>
          <w:szCs w:val="32"/>
          <w:lang w:eastAsia="zh-CN"/>
        </w:rPr>
      </w:pPr>
      <w:r>
        <w:rPr>
          <w:rFonts w:hint="eastAsia" w:ascii="宋体" w:hAnsi="宋体"/>
          <w:color w:val="FF0000"/>
          <w:kern w:val="2"/>
          <w:sz w:val="32"/>
          <w:szCs w:val="32"/>
          <w:lang w:eastAsia="zh-CN"/>
        </w:rPr>
        <w:t>（义务教育保障机制校舍维修改造市级配套资金）</w:t>
      </w:r>
    </w:p>
    <w:p>
      <w:pPr>
        <w:adjustRightInd w:val="0"/>
        <w:snapToGrid w:val="0"/>
        <w:spacing w:line="600" w:lineRule="exact"/>
        <w:ind w:firstLine="720"/>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adjustRightInd w:val="0"/>
        <w:snapToGrid w:val="0"/>
        <w:spacing w:line="600" w:lineRule="exact"/>
        <w:ind w:firstLine="720"/>
        <w:rPr>
          <w:rFonts w:ascii="楷体_GB2312" w:hAnsi="宋体" w:eastAsia="楷体_GB2312"/>
          <w:b/>
          <w:color w:val="auto"/>
          <w:lang w:val="zh-CN"/>
        </w:rPr>
      </w:pPr>
      <w:r>
        <w:rPr>
          <w:rFonts w:hint="eastAsia" w:ascii="楷体_GB2312" w:hAnsi="宋体" w:eastAsia="楷体_GB2312"/>
          <w:b/>
          <w:color w:val="auto"/>
          <w:lang w:val="zh-CN"/>
        </w:rPr>
        <w:t>（一）项目基本情况。</w:t>
      </w:r>
    </w:p>
    <w:p>
      <w:pPr>
        <w:adjustRightInd w:val="0"/>
        <w:snapToGrid w:val="0"/>
        <w:spacing w:line="600" w:lineRule="exact"/>
        <w:ind w:firstLine="720"/>
        <w:rPr>
          <w:rFonts w:hint="eastAsia" w:ascii="仿宋_GB2312" w:hAnsi="宋体"/>
          <w:color w:val="auto"/>
          <w:lang w:val="zh-CN"/>
        </w:rPr>
      </w:pPr>
      <w:r>
        <w:rPr>
          <w:rFonts w:hint="eastAsia" w:ascii="仿宋_GB2312" w:hAnsi="宋体"/>
          <w:color w:val="auto"/>
          <w:lang w:val="zh-CN"/>
        </w:rPr>
        <w:t>1．项目主管部门（单位）在该项目管理中的职能。</w:t>
      </w:r>
      <w:r>
        <w:rPr>
          <w:rFonts w:hint="eastAsia" w:ascii="仿宋_GB2312" w:hAnsi="仿宋_GB2312" w:cs="仿宋_GB2312"/>
          <w:sz w:val="32"/>
          <w:szCs w:val="32"/>
          <w:lang w:val="en-US" w:eastAsia="zh-CN"/>
        </w:rPr>
        <w:t>指导和协调本地“营养计划”工作。按照相关资金管理办法，落实项目市级配套资金预算，及时分解下达专项资金并予公开，建立问责机制，强化专项资金的使用情况的监督、检查，并对项目资金进行绩效评价。</w:t>
      </w:r>
    </w:p>
    <w:p>
      <w:pPr>
        <w:spacing w:line="580" w:lineRule="exact"/>
        <w:ind w:firstLine="640" w:firstLineChars="200"/>
        <w:rPr>
          <w:rFonts w:hint="eastAsia" w:ascii="仿宋_GB2312" w:hAnsi="宋体"/>
          <w:color w:val="auto"/>
          <w:lang w:val="zh-CN"/>
        </w:rPr>
      </w:pPr>
      <w:r>
        <w:rPr>
          <w:rFonts w:hint="eastAsia" w:ascii="仿宋_GB2312" w:hAnsi="宋体"/>
          <w:color w:val="auto"/>
          <w:lang w:val="zh-CN"/>
        </w:rPr>
        <w:t>2．项目立项、资金申报的依据。</w:t>
      </w:r>
      <w:r>
        <w:rPr>
          <w:rFonts w:hint="eastAsia" w:ascii="仿宋_GB2312" w:hAnsi="仿宋_GB2312" w:cs="仿宋_GB2312"/>
          <w:sz w:val="32"/>
          <w:szCs w:val="32"/>
          <w:lang w:val="en-US" w:eastAsia="zh-CN"/>
        </w:rPr>
        <w:t>主要依据是：《四川省财政厅 四川省教育厅关于印发〈四川省城乡义务教育补助资金管理办法〉的通知》（川财教〔2019〕128号） 《乐山市人民政府办公室关于印发乐山市教育领域市与县（市、区）财政事权和支出责任划分改革实施方案的通知》（乐府办发〔2021〕42号）。</w:t>
      </w:r>
    </w:p>
    <w:p>
      <w:pPr>
        <w:adjustRightInd w:val="0"/>
        <w:snapToGrid w:val="0"/>
        <w:spacing w:line="600" w:lineRule="exact"/>
        <w:ind w:firstLine="720"/>
        <w:rPr>
          <w:rFonts w:hint="eastAsia" w:ascii="仿宋_GB2312" w:hAnsi="仿宋_GB2312" w:cs="仿宋_GB2312"/>
          <w:sz w:val="32"/>
          <w:szCs w:val="32"/>
          <w:lang w:val="en-US" w:eastAsia="zh-CN"/>
        </w:rPr>
      </w:pPr>
      <w:r>
        <w:rPr>
          <w:rFonts w:hint="eastAsia" w:ascii="仿宋_GB2312" w:hAnsi="宋体"/>
          <w:color w:val="auto"/>
          <w:lang w:val="zh-CN"/>
        </w:rPr>
        <w:t>3．资金管理办法制定情况，资金支持具体项目的条件、范围与支持方式概况。</w:t>
      </w:r>
      <w:r>
        <w:rPr>
          <w:rFonts w:hint="eastAsia" w:ascii="仿宋_GB2312" w:hAnsi="仿宋_GB2312" w:cs="仿宋_GB2312"/>
          <w:sz w:val="32"/>
          <w:szCs w:val="32"/>
          <w:lang w:val="en-US" w:eastAsia="zh-CN"/>
        </w:rPr>
        <w:t>依据《四川省人民政府关于进一步完善城乡义务教育经费保障机制的实施意见》（川府发[2016]9号），我市制定和出台了《乐山市人民政府关于进一步完善城乡义务教育经费保障机制的实施意见》（乐府发[2016]15号），进一步巩固和完善了义务教育学校校舍安全保障机制。项目资金用于支持农村公办义务教育学校维修改造、抗震加固、改扩建校舍及其附属设施，中央和省级财政根据各地农村义务教育在校学生数、生均校舍面积标准、安全校舍面积、使用年限、单位面积补助标准、分配系数等因素核定。农村地区公办义务教育学校校舍安全保障长效机制所需资金由中央和我省按8:2比例分担。应由我省承担的资金，三州及内地民族县、民族待遇县和扩权县由省级财政全额承担；成都市自行解决；攀枝花、德阳、绵阳、宜宾市由省级财政与市级财政按5：5比例分担；其余市由省级财政与市级财政按8：2比例分担，市本级对非扩权县的补助标准由各市人民政府确定。</w:t>
      </w:r>
    </w:p>
    <w:p>
      <w:pPr>
        <w:adjustRightInd w:val="0"/>
        <w:snapToGrid w:val="0"/>
        <w:spacing w:line="600" w:lineRule="exact"/>
        <w:ind w:firstLine="720"/>
        <w:rPr>
          <w:rFonts w:hint="eastAsia" w:ascii="仿宋_GB2312" w:hAnsi="宋体"/>
          <w:color w:val="auto"/>
          <w:lang w:val="zh-CN"/>
        </w:rPr>
      </w:pPr>
      <w:r>
        <w:rPr>
          <w:rFonts w:hint="eastAsia" w:ascii="仿宋_GB2312" w:hAnsi="宋体"/>
          <w:color w:val="auto"/>
          <w:lang w:val="zh-CN"/>
        </w:rPr>
        <w:t>4．资金分配的原则及考虑因素。</w:t>
      </w:r>
    </w:p>
    <w:p>
      <w:pPr>
        <w:spacing w:beforeLines="0" w:afterLines="0"/>
        <w:ind w:firstLine="640" w:firstLineChars="200"/>
        <w:jc w:val="left"/>
        <w:rPr>
          <w:rFonts w:hint="eastAsia" w:ascii="仿宋_GB2312" w:hAnsi="宋体"/>
          <w:color w:val="auto"/>
          <w:lang w:val="zh-CN"/>
        </w:rPr>
      </w:pPr>
      <w:r>
        <w:rPr>
          <w:rFonts w:hint="eastAsia" w:ascii="仿宋_GB2312" w:hAnsi="仿宋_GB2312" w:cs="仿宋_GB2312"/>
          <w:sz w:val="32"/>
          <w:szCs w:val="32"/>
          <w:lang w:val="en-US" w:eastAsia="zh-CN"/>
        </w:rPr>
        <w:t>根据《乐山市人民政府办公室关于印发乐山市教育领域市与县（市、区）财政事权和支出责任划分改革实施方案的通知》（乐府办发〔2021〕42号）精神，</w:t>
      </w:r>
      <w:r>
        <w:rPr>
          <w:rFonts w:hint="eastAsia" w:ascii="FangSong_GB2312" w:hAnsi="FangSong_GB2312" w:eastAsia="FangSong_GB2312"/>
          <w:sz w:val="32"/>
        </w:rPr>
        <w:t>农村公办学校校舍单位面积补助测算标准按照国家基础标准执行，执行标准为：900 元/平方米，所需经费由中央与省按80:20 比例分担。应由省承担部分，民族县、扩权县由省级财政全额承担，其余区由省级财政与市财政按80:20比例分担。城市公办学校按照隶属关系由同级财政承担。</w:t>
      </w:r>
    </w:p>
    <w:p>
      <w:pPr>
        <w:adjustRightInd w:val="0"/>
        <w:snapToGrid w:val="0"/>
        <w:spacing w:line="600" w:lineRule="exact"/>
        <w:ind w:firstLine="720"/>
        <w:rPr>
          <w:rFonts w:ascii="楷体_GB2312" w:hAnsi="宋体" w:eastAsia="楷体_GB2312"/>
          <w:b/>
          <w:color w:val="auto"/>
          <w:lang w:val="zh-CN"/>
        </w:rPr>
      </w:pPr>
      <w:r>
        <w:rPr>
          <w:rFonts w:hint="eastAsia" w:ascii="楷体_GB2312" w:hAnsi="宋体" w:eastAsia="楷体_GB2312"/>
          <w:b/>
          <w:color w:val="auto"/>
          <w:lang w:val="zh-CN"/>
        </w:rPr>
        <w:t>（二）项目绩效目标。</w:t>
      </w:r>
    </w:p>
    <w:p>
      <w:pPr>
        <w:adjustRightInd w:val="0"/>
        <w:snapToGrid w:val="0"/>
        <w:spacing w:line="600" w:lineRule="exact"/>
        <w:ind w:firstLine="720"/>
        <w:rPr>
          <w:rFonts w:hint="eastAsia" w:ascii="仿宋_GB2312" w:hAnsi="宋体"/>
          <w:color w:val="auto"/>
          <w:lang w:val="zh-CN"/>
        </w:rPr>
      </w:pPr>
      <w:r>
        <w:rPr>
          <w:rFonts w:hint="eastAsia" w:ascii="仿宋_GB2312" w:hAnsi="宋体"/>
          <w:color w:val="auto"/>
          <w:lang w:val="zh-CN"/>
        </w:rPr>
        <w:t>1．项目主要内容。</w:t>
      </w:r>
    </w:p>
    <w:p>
      <w:pPr>
        <w:adjustRightInd w:val="0"/>
        <w:snapToGrid w:val="0"/>
        <w:spacing w:line="600" w:lineRule="exact"/>
        <w:ind w:firstLine="720"/>
        <w:rPr>
          <w:rFonts w:hint="eastAsia" w:ascii="仿宋_GB2312" w:hAnsi="宋体"/>
          <w:color w:val="auto"/>
          <w:lang w:val="zh-CN"/>
        </w:rPr>
      </w:pPr>
      <w:r>
        <w:rPr>
          <w:rFonts w:hint="eastAsia" w:ascii="仿宋_GB2312" w:hAnsi="宋体"/>
          <w:color w:val="auto"/>
          <w:lang w:val="zh-CN"/>
        </w:rPr>
        <w:t>消除全市非扩权县D级危房，加强B、C级危房的维修加固和改造，做好完好校舍的日常维护工作，有效降低危房转化率，确保中小学校舍安全。全年预计维修改造总面积不低于415平方米，概算投资37.3</w:t>
      </w:r>
      <w:r>
        <w:rPr>
          <w:rFonts w:hint="eastAsia" w:ascii="仿宋_GB2312" w:hAnsi="宋体"/>
          <w:color w:val="auto"/>
          <w:lang w:val="en-US" w:eastAsia="zh-CN"/>
        </w:rPr>
        <w:t>8</w:t>
      </w:r>
      <w:r>
        <w:rPr>
          <w:rFonts w:hint="eastAsia" w:ascii="仿宋_GB2312" w:hAnsi="宋体"/>
          <w:color w:val="auto"/>
          <w:lang w:val="zh-CN"/>
        </w:rPr>
        <w:t>万元。</w:t>
      </w:r>
    </w:p>
    <w:p>
      <w:pPr>
        <w:adjustRightInd w:val="0"/>
        <w:snapToGrid w:val="0"/>
        <w:spacing w:line="600" w:lineRule="exact"/>
        <w:ind w:firstLine="720"/>
        <w:rPr>
          <w:rFonts w:hint="eastAsia" w:ascii="仿宋_GB2312" w:hAnsi="宋体"/>
          <w:color w:val="auto"/>
          <w:lang w:val="zh-CN"/>
        </w:rPr>
      </w:pPr>
      <w:r>
        <w:rPr>
          <w:rFonts w:hint="eastAsia" w:ascii="仿宋_GB2312" w:hAnsi="宋体"/>
          <w:color w:val="auto"/>
          <w:lang w:val="zh-CN"/>
        </w:rPr>
        <w:t>2．项目应实现的具体绩效目标，包括目标的量化、细化情况以及项目实施进度计划等。计划维修改造总面积不低于415平方米，改扩建工程合格率</w:t>
      </w:r>
      <w:r>
        <w:rPr>
          <w:rFonts w:hint="eastAsia" w:ascii="仿宋_GB2312" w:hAnsi="宋体"/>
          <w:color w:val="auto"/>
          <w:lang w:val="en-US" w:eastAsia="zh-CN"/>
        </w:rPr>
        <w:t>100</w:t>
      </w:r>
      <w:r>
        <w:rPr>
          <w:rFonts w:hint="eastAsia" w:ascii="仿宋_GB2312" w:hAnsi="宋体"/>
          <w:color w:val="auto"/>
          <w:lang w:val="zh-CN"/>
        </w:rPr>
        <w:t>%，改扩建工程竣工及时率</w:t>
      </w:r>
      <w:r>
        <w:rPr>
          <w:rFonts w:hint="eastAsia" w:ascii="仿宋_GB2312" w:hAnsi="宋体"/>
          <w:color w:val="auto"/>
          <w:lang w:val="en-US" w:eastAsia="zh-CN"/>
        </w:rPr>
        <w:t>100</w:t>
      </w:r>
      <w:r>
        <w:rPr>
          <w:rFonts w:hint="eastAsia" w:ascii="仿宋_GB2312" w:hAnsi="宋体"/>
          <w:color w:val="auto"/>
          <w:lang w:val="zh-CN"/>
        </w:rPr>
        <w:t>%，维修改造项目按要求完成率</w:t>
      </w:r>
      <w:r>
        <w:rPr>
          <w:rFonts w:hint="eastAsia" w:ascii="仿宋_GB2312" w:hAnsi="宋体"/>
          <w:color w:val="auto"/>
          <w:lang w:val="en-US" w:eastAsia="zh-CN"/>
        </w:rPr>
        <w:t>100</w:t>
      </w:r>
      <w:r>
        <w:rPr>
          <w:rFonts w:hint="eastAsia" w:ascii="仿宋_GB2312" w:hAnsi="宋体"/>
          <w:color w:val="auto"/>
          <w:lang w:val="zh-CN"/>
        </w:rPr>
        <w:t>%，校舍安全经济使用寿命不低于</w:t>
      </w:r>
      <w:r>
        <w:rPr>
          <w:rFonts w:hint="eastAsia" w:ascii="仿宋_GB2312" w:hAnsi="宋体"/>
          <w:color w:val="auto"/>
          <w:lang w:val="en-US" w:eastAsia="zh-CN"/>
        </w:rPr>
        <w:t>50年，师生及社会满意度不低于90%</w:t>
      </w:r>
      <w:r>
        <w:rPr>
          <w:rFonts w:hint="eastAsia" w:ascii="仿宋_GB2312" w:hAnsi="宋体"/>
          <w:color w:val="auto"/>
          <w:lang w:val="zh-CN"/>
        </w:rPr>
        <w:t>。</w:t>
      </w:r>
      <w:r>
        <w:rPr>
          <w:rFonts w:hint="eastAsia" w:ascii="仿宋_GB2312" w:hAnsi="宋体"/>
          <w:color w:val="auto"/>
          <w:lang w:val="en-US" w:eastAsia="zh-CN"/>
        </w:rPr>
        <w:t>截至评价时点，所有项目均已全面完成。</w:t>
      </w:r>
    </w:p>
    <w:p>
      <w:pPr>
        <w:spacing w:line="580" w:lineRule="exact"/>
        <w:ind w:firstLine="640" w:firstLineChars="200"/>
        <w:rPr>
          <w:rFonts w:ascii="仿宋_GB2312" w:hAnsi="宋体"/>
          <w:color w:val="auto"/>
          <w:lang w:val="zh-CN"/>
        </w:rPr>
      </w:pPr>
      <w:r>
        <w:rPr>
          <w:rFonts w:hint="eastAsia" w:ascii="仿宋_GB2312" w:hAnsi="宋体"/>
          <w:color w:val="auto"/>
          <w:lang w:val="zh-CN"/>
        </w:rPr>
        <w:t>3．申报内容与实际相符性，申报目标可行性。</w:t>
      </w:r>
      <w:r>
        <w:rPr>
          <w:rFonts w:hint="eastAsia" w:ascii="仿宋_GB2312" w:hAnsi="仿宋_GB2312" w:cs="仿宋_GB2312"/>
          <w:sz w:val="32"/>
          <w:szCs w:val="32"/>
          <w:lang w:val="en-US" w:eastAsia="zh-CN"/>
        </w:rPr>
        <w:t>项目申报内容符合国家政策规定，支持对象、支持范围与实际相符，申报目标可行性高。</w:t>
      </w:r>
    </w:p>
    <w:p>
      <w:pPr>
        <w:adjustRightInd w:val="0"/>
        <w:snapToGrid w:val="0"/>
        <w:spacing w:line="600" w:lineRule="exact"/>
        <w:ind w:firstLine="720"/>
        <w:rPr>
          <w:rFonts w:ascii="楷体_GB2312" w:hAnsi="宋体" w:eastAsia="楷体_GB2312"/>
          <w:b/>
          <w:color w:val="auto"/>
          <w:lang w:val="zh-CN"/>
        </w:rPr>
      </w:pPr>
      <w:r>
        <w:rPr>
          <w:rFonts w:hint="eastAsia" w:ascii="楷体_GB2312" w:hAnsi="宋体" w:eastAsia="楷体_GB2312"/>
          <w:b/>
          <w:color w:val="auto"/>
          <w:lang w:val="zh-CN"/>
        </w:rPr>
        <w:t>（三）项目自评步骤及方法。</w:t>
      </w:r>
    </w:p>
    <w:p>
      <w:pPr>
        <w:spacing w:line="540" w:lineRule="exact"/>
        <w:ind w:firstLine="640"/>
        <w:rPr>
          <w:rFonts w:hint="eastAsia"/>
          <w:szCs w:val="32"/>
          <w:lang w:val="en-US" w:eastAsia="zh-CN"/>
        </w:rPr>
      </w:pPr>
      <w:r>
        <w:rPr>
          <w:rFonts w:hint="eastAsia" w:ascii="仿宋_GB2312" w:hAnsi="仿宋_GB2312" w:eastAsia="仿宋_GB2312" w:cs="仿宋_GB2312"/>
          <w:szCs w:val="32"/>
          <w:lang w:val="en-US" w:eastAsia="zh-CN"/>
        </w:rPr>
        <w:t>1</w:t>
      </w:r>
      <w:r>
        <w:rPr>
          <w:rFonts w:hint="eastAsia"/>
          <w:szCs w:val="32"/>
          <w:lang w:val="en-US" w:eastAsia="zh-CN"/>
        </w:rPr>
        <w:t>.绩效自评组织实施步骤</w:t>
      </w:r>
    </w:p>
    <w:p>
      <w:pPr>
        <w:spacing w:line="540" w:lineRule="exact"/>
        <w:ind w:firstLine="640"/>
        <w:rPr>
          <w:rFonts w:hAnsi="Times New Roman"/>
          <w:szCs w:val="32"/>
        </w:rPr>
      </w:pPr>
      <w:r>
        <w:rPr>
          <w:rFonts w:hint="eastAsia"/>
          <w:szCs w:val="32"/>
          <w:lang w:eastAsia="zh-CN"/>
        </w:rPr>
        <w:t>一是</w:t>
      </w:r>
      <w:r>
        <w:rPr>
          <w:rFonts w:hint="eastAsia" w:hAnsi="Times New Roman"/>
          <w:szCs w:val="32"/>
        </w:rPr>
        <w:t>成立绩效评估小组。我局成立了由基础教育科、人事科、计财科等业务科室负责人、业务骨干为成员的评</w:t>
      </w:r>
      <w:r>
        <w:rPr>
          <w:rFonts w:hint="eastAsia"/>
          <w:szCs w:val="32"/>
          <w:lang w:eastAsia="zh-CN"/>
        </w:rPr>
        <w:t>价</w:t>
      </w:r>
      <w:r>
        <w:rPr>
          <w:rFonts w:hint="eastAsia" w:hAnsi="Times New Roman"/>
          <w:szCs w:val="32"/>
        </w:rPr>
        <w:t>小组</w:t>
      </w:r>
      <w:r>
        <w:rPr>
          <w:rFonts w:hint="eastAsia"/>
          <w:szCs w:val="32"/>
          <w:lang w:eastAsia="zh-CN"/>
        </w:rPr>
        <w:t>；二是</w:t>
      </w:r>
      <w:r>
        <w:rPr>
          <w:rFonts w:hint="eastAsia" w:hAnsi="Times New Roman"/>
          <w:szCs w:val="32"/>
        </w:rPr>
        <w:t>收集审核资料。</w:t>
      </w:r>
      <w:r>
        <w:rPr>
          <w:rFonts w:hint="eastAsia"/>
          <w:szCs w:val="32"/>
          <w:lang w:eastAsia="zh-CN"/>
        </w:rPr>
        <w:t>由</w:t>
      </w:r>
      <w:r>
        <w:rPr>
          <w:rFonts w:hint="eastAsia" w:hAnsi="Times New Roman"/>
          <w:szCs w:val="32"/>
        </w:rPr>
        <w:t>金口河提供相关材料；</w:t>
      </w:r>
      <w:r>
        <w:rPr>
          <w:rFonts w:hint="eastAsia"/>
          <w:szCs w:val="32"/>
          <w:lang w:eastAsia="zh-CN"/>
        </w:rPr>
        <w:t>评价小</w:t>
      </w:r>
      <w:r>
        <w:rPr>
          <w:rFonts w:hint="eastAsia" w:hAnsi="Times New Roman"/>
          <w:szCs w:val="32"/>
        </w:rPr>
        <w:t>组对资料进行</w:t>
      </w:r>
      <w:r>
        <w:rPr>
          <w:rFonts w:hint="eastAsia" w:hAnsi="Times New Roman"/>
          <w:spacing w:val="-4"/>
          <w:szCs w:val="32"/>
        </w:rPr>
        <w:t>审核、整理</w:t>
      </w:r>
      <w:r>
        <w:rPr>
          <w:rFonts w:hint="eastAsia" w:hAnsi="Times New Roman"/>
          <w:szCs w:val="32"/>
        </w:rPr>
        <w:t>。通过咨询专业人士、查阅资料、问卷调查、电话采访、集中座谈等方式，多渠道获取相关信息</w:t>
      </w:r>
      <w:r>
        <w:rPr>
          <w:rFonts w:hint="eastAsia"/>
          <w:szCs w:val="32"/>
          <w:lang w:eastAsia="zh-CN"/>
        </w:rPr>
        <w:t>；三是</w:t>
      </w:r>
      <w:r>
        <w:rPr>
          <w:rFonts w:hint="eastAsia" w:hAnsi="Times New Roman"/>
          <w:szCs w:val="32"/>
        </w:rPr>
        <w:t>进行现场调研。视</w:t>
      </w:r>
      <w:r>
        <w:rPr>
          <w:rFonts w:hint="eastAsia"/>
          <w:szCs w:val="32"/>
          <w:lang w:eastAsia="zh-CN"/>
        </w:rPr>
        <w:t>具体</w:t>
      </w:r>
      <w:r>
        <w:rPr>
          <w:rFonts w:hint="eastAsia" w:hAnsi="Times New Roman"/>
          <w:szCs w:val="32"/>
        </w:rPr>
        <w:t>情况开展现场调研，实地勘测、核实、了解评</w:t>
      </w:r>
      <w:r>
        <w:rPr>
          <w:rFonts w:hint="eastAsia"/>
          <w:szCs w:val="32"/>
          <w:lang w:eastAsia="zh-CN"/>
        </w:rPr>
        <w:t>价</w:t>
      </w:r>
      <w:r>
        <w:rPr>
          <w:rFonts w:hint="eastAsia" w:hAnsi="Times New Roman"/>
          <w:szCs w:val="32"/>
        </w:rPr>
        <w:t>对象的具体内容、申报理由和具体做法、依据等，将现场情况与上报材料进行对比，对疑点问题进行询问，听取并记录申报单位对有关问题的解释和答复</w:t>
      </w:r>
      <w:r>
        <w:rPr>
          <w:rFonts w:hint="eastAsia"/>
          <w:szCs w:val="32"/>
          <w:lang w:eastAsia="zh-CN"/>
        </w:rPr>
        <w:t>；四是</w:t>
      </w:r>
      <w:r>
        <w:rPr>
          <w:rFonts w:hint="eastAsia" w:hAnsi="Times New Roman"/>
          <w:szCs w:val="32"/>
        </w:rPr>
        <w:t>开展正式评</w:t>
      </w:r>
      <w:r>
        <w:rPr>
          <w:rFonts w:hint="eastAsia"/>
          <w:szCs w:val="32"/>
          <w:lang w:eastAsia="zh-CN"/>
        </w:rPr>
        <w:t>价</w:t>
      </w:r>
      <w:r>
        <w:rPr>
          <w:rFonts w:hint="eastAsia" w:hAnsi="Times New Roman"/>
          <w:szCs w:val="32"/>
        </w:rPr>
        <w:t>。在充分收集分析资料、现场调研的基础上，组织申报单位、专家组成员召开正式评</w:t>
      </w:r>
      <w:r>
        <w:rPr>
          <w:rFonts w:hint="eastAsia"/>
          <w:szCs w:val="32"/>
          <w:lang w:eastAsia="zh-CN"/>
        </w:rPr>
        <w:t>价</w:t>
      </w:r>
      <w:r>
        <w:rPr>
          <w:rFonts w:hint="eastAsia" w:hAnsi="Times New Roman"/>
          <w:szCs w:val="32"/>
        </w:rPr>
        <w:t>会。对项目绩效目标、实施方案、预算编制等情况进行评价；组织</w:t>
      </w:r>
      <w:r>
        <w:rPr>
          <w:rFonts w:hint="eastAsia"/>
          <w:szCs w:val="32"/>
          <w:lang w:eastAsia="zh-CN"/>
        </w:rPr>
        <w:t>学生及家长</w:t>
      </w:r>
      <w:r>
        <w:rPr>
          <w:rFonts w:hint="eastAsia" w:hAnsi="Times New Roman"/>
          <w:szCs w:val="32"/>
        </w:rPr>
        <w:t>代表、</w:t>
      </w:r>
      <w:r>
        <w:rPr>
          <w:rFonts w:hint="eastAsia"/>
          <w:szCs w:val="32"/>
          <w:lang w:eastAsia="zh-CN"/>
        </w:rPr>
        <w:t>学校领导等</w:t>
      </w:r>
      <w:r>
        <w:rPr>
          <w:rFonts w:hint="eastAsia" w:hAnsi="Times New Roman"/>
          <w:szCs w:val="32"/>
        </w:rPr>
        <w:t>就具体问题和申报单位进行沟通交流</w:t>
      </w:r>
      <w:r>
        <w:rPr>
          <w:rFonts w:hint="eastAsia"/>
          <w:szCs w:val="32"/>
          <w:lang w:eastAsia="zh-CN"/>
        </w:rPr>
        <w:t>；最后</w:t>
      </w:r>
      <w:r>
        <w:rPr>
          <w:rFonts w:hint="eastAsia" w:hAnsi="Times New Roman"/>
          <w:szCs w:val="32"/>
        </w:rPr>
        <w:t>形成评</w:t>
      </w:r>
      <w:r>
        <w:rPr>
          <w:rFonts w:hint="eastAsia"/>
          <w:szCs w:val="32"/>
          <w:lang w:eastAsia="zh-CN"/>
        </w:rPr>
        <w:t>价</w:t>
      </w:r>
      <w:r>
        <w:rPr>
          <w:rFonts w:hint="eastAsia" w:hAnsi="Times New Roman"/>
          <w:szCs w:val="32"/>
        </w:rPr>
        <w:t>报告。在对项目实施成效进行充分评估的基础上，形成评</w:t>
      </w:r>
      <w:r>
        <w:rPr>
          <w:rFonts w:hint="eastAsia"/>
          <w:szCs w:val="32"/>
          <w:lang w:eastAsia="zh-CN"/>
        </w:rPr>
        <w:t>价</w:t>
      </w:r>
      <w:r>
        <w:rPr>
          <w:rFonts w:hint="eastAsia" w:hAnsi="Times New Roman"/>
          <w:szCs w:val="32"/>
        </w:rPr>
        <w:t>报告。</w:t>
      </w:r>
    </w:p>
    <w:p>
      <w:pPr>
        <w:spacing w:line="540" w:lineRule="exact"/>
        <w:ind w:firstLine="640"/>
        <w:rPr>
          <w:rFonts w:hAnsi="Times New Roman"/>
          <w:szCs w:val="32"/>
        </w:rPr>
      </w:pPr>
      <w:r>
        <w:rPr>
          <w:rFonts w:hint="eastAsia"/>
          <w:szCs w:val="32"/>
          <w:lang w:val="en-US" w:eastAsia="zh-CN"/>
        </w:rPr>
        <w:t>2.</w:t>
      </w:r>
      <w:r>
        <w:rPr>
          <w:rFonts w:hint="eastAsia" w:hAnsi="Times New Roman"/>
          <w:szCs w:val="32"/>
        </w:rPr>
        <w:t>评</w:t>
      </w:r>
      <w:r>
        <w:rPr>
          <w:rFonts w:hint="eastAsia"/>
          <w:szCs w:val="32"/>
          <w:lang w:eastAsia="zh-CN"/>
        </w:rPr>
        <w:t>价</w:t>
      </w:r>
      <w:r>
        <w:rPr>
          <w:rFonts w:hint="eastAsia" w:hAnsi="Times New Roman"/>
          <w:szCs w:val="32"/>
        </w:rPr>
        <w:t>方法</w:t>
      </w:r>
    </w:p>
    <w:p>
      <w:pPr>
        <w:spacing w:line="540" w:lineRule="exact"/>
        <w:ind w:firstLine="640"/>
        <w:rPr>
          <w:rFonts w:hint="eastAsia" w:ascii="仿宋_GB2312" w:hAnsi="宋体"/>
          <w:color w:val="auto"/>
          <w:lang w:val="zh-CN"/>
        </w:rPr>
      </w:pPr>
      <w:r>
        <w:rPr>
          <w:rFonts w:hint="eastAsia" w:hAnsi="仿宋_GB2312" w:cs="仿宋_GB2312"/>
          <w:szCs w:val="32"/>
        </w:rPr>
        <w:t>按照前期准备、</w:t>
      </w:r>
      <w:r>
        <w:rPr>
          <w:rFonts w:hint="eastAsia" w:hAnsi="仿宋_GB2312" w:cs="仿宋_GB2312"/>
          <w:szCs w:val="32"/>
          <w:lang w:eastAsia="zh-CN"/>
        </w:rPr>
        <w:t>单位</w:t>
      </w:r>
      <w:r>
        <w:rPr>
          <w:rFonts w:hint="eastAsia" w:hAnsi="仿宋_GB2312" w:cs="仿宋_GB2312"/>
          <w:szCs w:val="32"/>
        </w:rPr>
        <w:t>自评、现场评价、报告撰写四个阶段，以现场评</w:t>
      </w:r>
      <w:r>
        <w:rPr>
          <w:rFonts w:hint="eastAsia" w:hAnsi="仿宋_GB2312" w:cs="仿宋_GB2312"/>
          <w:szCs w:val="32"/>
          <w:lang w:eastAsia="zh-CN"/>
        </w:rPr>
        <w:t>价</w:t>
      </w:r>
      <w:r>
        <w:rPr>
          <w:rFonts w:hint="eastAsia" w:hAnsi="仿宋_GB2312" w:cs="仿宋_GB2312"/>
          <w:szCs w:val="32"/>
        </w:rPr>
        <w:t>与非现场评估相结合的方式，组织实施项目绩效评</w:t>
      </w:r>
      <w:r>
        <w:rPr>
          <w:rFonts w:hint="eastAsia" w:hAnsi="仿宋_GB2312" w:cs="仿宋_GB2312"/>
          <w:szCs w:val="32"/>
          <w:lang w:eastAsia="zh-CN"/>
        </w:rPr>
        <w:t>价</w:t>
      </w:r>
      <w:r>
        <w:rPr>
          <w:rFonts w:hint="eastAsia" w:hAnsi="仿宋_GB2312" w:cs="仿宋_GB2312"/>
          <w:szCs w:val="32"/>
        </w:rPr>
        <w:t>自评工作。绩效评价小组检查了被评价单位会计资料、公示材料等，采取检查</w:t>
      </w:r>
      <w:r>
        <w:rPr>
          <w:rFonts w:hint="eastAsia" w:hAnsi="仿宋_GB2312" w:cs="仿宋_GB2312"/>
          <w:szCs w:val="32"/>
          <w:lang w:eastAsia="zh-CN"/>
        </w:rPr>
        <w:t>材料</w:t>
      </w:r>
      <w:r>
        <w:rPr>
          <w:rFonts w:hint="eastAsia" w:hAnsi="仿宋_GB2312" w:cs="仿宋_GB2312"/>
          <w:szCs w:val="32"/>
        </w:rPr>
        <w:t>、现场踏看、</w:t>
      </w:r>
      <w:r>
        <w:rPr>
          <w:rFonts w:hint="eastAsia" w:hAnsi="仿宋_GB2312" w:cs="仿宋_GB2312"/>
          <w:szCs w:val="32"/>
          <w:lang w:eastAsia="zh-CN"/>
        </w:rPr>
        <w:t>当面</w:t>
      </w:r>
      <w:r>
        <w:rPr>
          <w:rFonts w:hint="eastAsia" w:hAnsi="仿宋_GB2312" w:cs="仿宋_GB2312"/>
          <w:szCs w:val="32"/>
        </w:rPr>
        <w:t>询问</w:t>
      </w:r>
      <w:r>
        <w:rPr>
          <w:rFonts w:hint="eastAsia" w:hAnsi="仿宋_GB2312" w:cs="仿宋_GB2312"/>
          <w:szCs w:val="32"/>
          <w:lang w:eastAsia="zh-CN"/>
        </w:rPr>
        <w:t>、电话采访</w:t>
      </w:r>
      <w:r>
        <w:rPr>
          <w:rFonts w:hint="eastAsia" w:hAnsi="仿宋_GB2312" w:cs="仿宋_GB2312"/>
          <w:szCs w:val="32"/>
        </w:rPr>
        <w:t>等方式，</w:t>
      </w:r>
      <w:r>
        <w:rPr>
          <w:rFonts w:hint="eastAsia" w:hAnsi="仿宋_GB2312" w:cs="仿宋_GB2312"/>
          <w:szCs w:val="32"/>
          <w:lang w:eastAsia="zh-CN"/>
        </w:rPr>
        <w:t>以</w:t>
      </w:r>
      <w:r>
        <w:rPr>
          <w:rFonts w:hint="eastAsia" w:hAnsi="仿宋_GB2312" w:cs="仿宋_GB2312"/>
          <w:szCs w:val="32"/>
        </w:rPr>
        <w:t>定性分析与定量分析相结合的方法形成评价结论。</w:t>
      </w:r>
    </w:p>
    <w:p>
      <w:pPr>
        <w:adjustRightInd w:val="0"/>
        <w:snapToGrid w:val="0"/>
        <w:spacing w:line="600" w:lineRule="exact"/>
        <w:ind w:firstLine="720"/>
        <w:rPr>
          <w:rFonts w:ascii="黑体" w:hAnsi="宋体" w:eastAsia="黑体"/>
          <w:color w:val="auto"/>
        </w:rPr>
      </w:pPr>
      <w:r>
        <w:rPr>
          <w:rFonts w:hint="eastAsia" w:ascii="黑体" w:hAnsi="宋体" w:eastAsia="黑体"/>
          <w:color w:val="auto"/>
        </w:rPr>
        <w:t>二、项目资金申报及使用情况</w:t>
      </w:r>
    </w:p>
    <w:p>
      <w:pPr>
        <w:adjustRightInd w:val="0"/>
        <w:snapToGrid w:val="0"/>
        <w:spacing w:line="600" w:lineRule="exact"/>
        <w:ind w:firstLine="720"/>
        <w:rPr>
          <w:rFonts w:ascii="楷体_GB2312" w:hAnsi="宋体" w:eastAsia="楷体_GB2312"/>
          <w:b/>
          <w:color w:val="auto"/>
          <w:lang w:val="zh-CN"/>
        </w:rPr>
      </w:pPr>
      <w:r>
        <w:rPr>
          <w:rFonts w:hint="eastAsia" w:ascii="楷体_GB2312" w:hAnsi="宋体" w:eastAsia="楷体_GB2312"/>
          <w:b/>
          <w:color w:val="auto"/>
          <w:lang w:val="zh-CN"/>
        </w:rPr>
        <w:t>（一）项目资金申报及批复情况。</w:t>
      </w:r>
    </w:p>
    <w:p>
      <w:pPr>
        <w:adjustRightInd w:val="0"/>
        <w:snapToGrid w:val="0"/>
        <w:spacing w:line="600" w:lineRule="exact"/>
        <w:ind w:firstLine="720"/>
        <w:rPr>
          <w:rFonts w:ascii="仿宋_GB2312" w:hAnsi="宋体"/>
          <w:color w:val="auto"/>
          <w:lang w:val="zh-CN"/>
        </w:rPr>
      </w:pPr>
      <w:r>
        <w:rPr>
          <w:rFonts w:hint="eastAsia" w:ascii="仿宋_GB2312" w:hAnsi="仿宋_GB2312" w:cs="仿宋_GB2312"/>
          <w:sz w:val="32"/>
          <w:szCs w:val="32"/>
          <w:lang w:val="en-US" w:eastAsia="zh-CN"/>
        </w:rPr>
        <w:t>按照中央、省、市各级应承担比例测算，2021年申报</w:t>
      </w:r>
      <w:r>
        <w:rPr>
          <w:rFonts w:hint="eastAsia" w:ascii="仿宋_GB2312" w:hAnsi="仿宋_GB2312" w:eastAsia="仿宋_GB2312" w:cs="仿宋_GB2312"/>
          <w:sz w:val="32"/>
          <w:szCs w:val="32"/>
          <w:lang w:val="en-US" w:eastAsia="zh-CN"/>
        </w:rPr>
        <w:t>市级补助资金</w:t>
      </w:r>
      <w:r>
        <w:rPr>
          <w:rFonts w:hint="eastAsia" w:ascii="仿宋_GB2312" w:hAnsi="仿宋_GB2312" w:cs="仿宋_GB2312"/>
          <w:sz w:val="32"/>
          <w:szCs w:val="32"/>
          <w:lang w:val="en-US" w:eastAsia="zh-CN"/>
        </w:rPr>
        <w:t>37.38</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。《乐山市财政局关于批复2021年市级部门预算的通知》（乐市财政预〔2021〕4号）批复下达补助资金37.38万元。</w:t>
      </w:r>
    </w:p>
    <w:p>
      <w:pPr>
        <w:adjustRightInd w:val="0"/>
        <w:snapToGrid w:val="0"/>
        <w:spacing w:line="600" w:lineRule="exact"/>
        <w:ind w:firstLine="720"/>
        <w:rPr>
          <w:rFonts w:ascii="仿宋_GB2312" w:hAnsi="宋体"/>
          <w:color w:val="auto"/>
          <w:lang w:val="zh-CN"/>
        </w:rPr>
      </w:pPr>
      <w:r>
        <w:rPr>
          <w:rFonts w:hint="eastAsia" w:ascii="楷体_GB2312" w:hAnsi="宋体" w:eastAsia="楷体_GB2312"/>
          <w:b/>
          <w:color w:val="auto"/>
          <w:lang w:val="zh-CN"/>
        </w:rPr>
        <w:t>（二）资金计划、到位及使用情况（可用表格形式反映）。</w:t>
      </w:r>
    </w:p>
    <w:p>
      <w:pPr>
        <w:adjustRightInd w:val="0"/>
        <w:snapToGrid w:val="0"/>
        <w:spacing w:line="600" w:lineRule="exact"/>
        <w:ind w:firstLine="720"/>
        <w:rPr>
          <w:rFonts w:hint="eastAsia" w:ascii="仿宋_GB2312" w:hAnsi="仿宋_GB2312" w:eastAsia="仿宋_GB2312" w:cs="仿宋_GB2312"/>
          <w:color w:val="auto"/>
          <w:lang w:val="en-US" w:eastAsia="zh-CN"/>
        </w:rPr>
      </w:pPr>
      <w:r>
        <w:rPr>
          <w:rFonts w:hint="eastAsia" w:ascii="楷体_GB2312" w:hAnsi="宋体" w:eastAsia="楷体_GB2312"/>
          <w:color w:val="auto"/>
          <w:lang w:val="zh-CN"/>
        </w:rPr>
        <w:t>1．资金计划。</w:t>
      </w:r>
      <w:r>
        <w:rPr>
          <w:rFonts w:hint="eastAsia" w:ascii="仿宋_GB2312" w:hAnsi="仿宋_GB2312" w:eastAsia="仿宋_GB2312" w:cs="仿宋_GB2312"/>
          <w:color w:val="auto"/>
          <w:lang w:val="zh-CN"/>
        </w:rPr>
        <w:t>市级资金</w:t>
      </w:r>
      <w:r>
        <w:rPr>
          <w:rFonts w:hint="eastAsia" w:ascii="仿宋_GB2312" w:hAnsi="仿宋_GB2312" w:eastAsia="仿宋_GB2312" w:cs="仿宋_GB2312"/>
          <w:color w:val="auto"/>
          <w:lang w:val="en-US" w:eastAsia="zh-CN"/>
        </w:rPr>
        <w:t>37.38万元</w:t>
      </w:r>
      <w:r>
        <w:rPr>
          <w:rFonts w:hint="eastAsia" w:ascii="仿宋_GB2312" w:hAnsi="仿宋_GB2312" w:cs="仿宋_GB2312"/>
          <w:color w:val="auto"/>
          <w:lang w:val="en-US" w:eastAsia="zh-CN"/>
        </w:rPr>
        <w:t>（其中：市中区20.4万元、沙湾区5万元、五通桥区10.1万元、金口河区1.88万元）</w:t>
      </w:r>
      <w:r>
        <w:rPr>
          <w:rFonts w:hint="eastAsia" w:ascii="仿宋_GB2312" w:hAnsi="仿宋_GB2312" w:eastAsia="仿宋_GB2312" w:cs="仿宋_GB2312"/>
          <w:color w:val="auto"/>
          <w:lang w:val="en-US" w:eastAsia="zh-CN"/>
        </w:rPr>
        <w:t>。</w:t>
      </w:r>
    </w:p>
    <w:p>
      <w:pPr>
        <w:adjustRightInd w:val="0"/>
        <w:snapToGrid w:val="0"/>
        <w:spacing w:line="600" w:lineRule="exact"/>
        <w:ind w:firstLine="720"/>
        <w:rPr>
          <w:rFonts w:hint="eastAsia" w:ascii="仿宋_GB2312" w:hAnsi="仿宋_GB2312" w:eastAsia="仿宋_GB2312" w:cs="仿宋_GB2312"/>
          <w:color w:val="auto"/>
          <w:lang w:val="en-US" w:eastAsia="zh-CN"/>
        </w:rPr>
      </w:pPr>
      <w:r>
        <w:rPr>
          <w:rFonts w:hint="eastAsia" w:ascii="楷体_GB2312" w:hAnsi="宋体" w:eastAsia="楷体_GB2312"/>
          <w:color w:val="auto"/>
          <w:lang w:val="zh-CN"/>
        </w:rPr>
        <w:t>2．资金到位。</w:t>
      </w:r>
      <w:r>
        <w:rPr>
          <w:rFonts w:hint="eastAsia" w:ascii="仿宋_GB2312" w:hAnsi="仿宋_GB2312" w:eastAsia="仿宋_GB2312" w:cs="仿宋_GB2312"/>
          <w:color w:val="auto"/>
          <w:lang w:val="en-US" w:eastAsia="zh-CN"/>
        </w:rPr>
        <w:t>市级资金37.38万元</w:t>
      </w:r>
      <w:r>
        <w:rPr>
          <w:rFonts w:hint="eastAsia" w:ascii="仿宋_GB2312" w:hAnsi="仿宋_GB2312" w:cs="仿宋_GB2312"/>
          <w:color w:val="auto"/>
          <w:lang w:val="en-US" w:eastAsia="zh-CN"/>
        </w:rPr>
        <w:t>，</w:t>
      </w:r>
      <w:r>
        <w:rPr>
          <w:rFonts w:hint="eastAsia" w:ascii="仿宋_GB2312" w:hAnsi="仿宋_GB2312" w:eastAsia="仿宋_GB2312" w:cs="仿宋_GB2312"/>
          <w:color w:val="auto"/>
          <w:lang w:val="en-US" w:eastAsia="zh-CN"/>
        </w:rPr>
        <w:t>到位率100%。</w:t>
      </w:r>
    </w:p>
    <w:p>
      <w:pPr>
        <w:adjustRightInd w:val="0"/>
        <w:snapToGrid w:val="0"/>
        <w:spacing w:line="600" w:lineRule="exact"/>
        <w:ind w:firstLine="720"/>
        <w:rPr>
          <w:rFonts w:hint="eastAsia" w:ascii="仿宋_GB2312" w:hAnsi="宋体"/>
          <w:color w:val="auto"/>
          <w:lang w:val="zh-CN"/>
        </w:rPr>
      </w:pPr>
      <w:r>
        <w:rPr>
          <w:rFonts w:hint="eastAsia" w:ascii="楷体_GB2312" w:hAnsi="宋体" w:eastAsia="楷体_GB2312"/>
          <w:color w:val="auto"/>
          <w:lang w:val="zh-CN"/>
        </w:rPr>
        <w:t>3．资金使用。</w:t>
      </w:r>
      <w:r>
        <w:rPr>
          <w:rFonts w:hint="eastAsia" w:ascii="仿宋_GB2312" w:hAnsi="宋体"/>
          <w:color w:val="auto"/>
          <w:lang w:val="zh-CN"/>
        </w:rPr>
        <w:t>截止评价时点该项目资金已全部使用，资金支付范围、支付标准、支付进度、支付依据等合规合法，与预算相符。</w:t>
      </w:r>
    </w:p>
    <w:p>
      <w:pPr>
        <w:adjustRightInd w:val="0"/>
        <w:snapToGrid w:val="0"/>
        <w:spacing w:line="600" w:lineRule="exact"/>
        <w:ind w:firstLine="720"/>
        <w:rPr>
          <w:rFonts w:ascii="楷体_GB2312" w:hAnsi="宋体" w:eastAsia="楷体_GB2312"/>
          <w:b/>
          <w:color w:val="auto"/>
          <w:lang w:val="zh-CN"/>
        </w:rPr>
      </w:pPr>
      <w:r>
        <w:rPr>
          <w:rFonts w:hint="eastAsia" w:ascii="楷体_GB2312" w:hAnsi="宋体" w:eastAsia="楷体_GB2312"/>
          <w:b/>
          <w:color w:val="auto"/>
          <w:lang w:val="zh-CN"/>
        </w:rPr>
        <w:t>（三）项目财务管理情况。</w:t>
      </w:r>
    </w:p>
    <w:p>
      <w:pPr>
        <w:adjustRightInd w:val="0"/>
        <w:snapToGrid w:val="0"/>
        <w:spacing w:line="600" w:lineRule="exact"/>
        <w:ind w:firstLine="720"/>
        <w:rPr>
          <w:rFonts w:ascii="仿宋_GB2312" w:hAnsi="宋体"/>
          <w:color w:val="auto"/>
          <w:lang w:val="zh-CN"/>
        </w:rPr>
      </w:pPr>
      <w:r>
        <w:rPr>
          <w:rFonts w:hint="eastAsia" w:ascii="仿宋_GB2312" w:hAnsi="宋体"/>
          <w:color w:val="auto"/>
          <w:lang w:val="zh-CN"/>
        </w:rPr>
        <w:t>各项目实施单位财务管理制度健全，严格执行财务管理制度，账务处理及时，会计核算规范。</w:t>
      </w:r>
    </w:p>
    <w:p>
      <w:pPr>
        <w:adjustRightInd w:val="0"/>
        <w:snapToGrid w:val="0"/>
        <w:spacing w:line="600" w:lineRule="exact"/>
        <w:ind w:firstLine="720"/>
        <w:rPr>
          <w:rFonts w:ascii="黑体" w:hAnsi="宋体" w:eastAsia="黑体"/>
          <w:color w:val="auto"/>
        </w:rPr>
      </w:pPr>
      <w:r>
        <w:rPr>
          <w:rFonts w:hint="eastAsia" w:ascii="黑体" w:hAnsi="宋体" w:eastAsia="黑体"/>
          <w:color w:val="auto"/>
        </w:rPr>
        <w:t>三、项目实施及管理情况</w:t>
      </w:r>
    </w:p>
    <w:p>
      <w:pPr>
        <w:adjustRightInd w:val="0"/>
        <w:snapToGrid w:val="0"/>
        <w:spacing w:line="600" w:lineRule="exact"/>
        <w:ind w:firstLine="720"/>
        <w:rPr>
          <w:rFonts w:ascii="仿宋_GB2312" w:hAnsi="宋体"/>
          <w:color w:val="auto"/>
          <w:lang w:val="zh-CN"/>
        </w:rPr>
      </w:pPr>
      <w:r>
        <w:rPr>
          <w:rFonts w:hint="eastAsia" w:ascii="仿宋_GB2312" w:hAnsi="宋体"/>
          <w:color w:val="auto"/>
          <w:lang w:val="zh-CN"/>
        </w:rPr>
        <w:t>结合项目组织实施管理办法，重点围绕以下内容进行分析评价，并对自评中发现的问题分析说明。</w:t>
      </w:r>
    </w:p>
    <w:p>
      <w:pPr>
        <w:adjustRightInd w:val="0"/>
        <w:snapToGrid w:val="0"/>
        <w:spacing w:line="600" w:lineRule="exact"/>
        <w:ind w:firstLine="643" w:firstLineChars="200"/>
        <w:rPr>
          <w:rFonts w:ascii="楷体_GB2312" w:hAnsi="宋体" w:eastAsia="楷体_GB2312"/>
          <w:b w:val="0"/>
          <w:bCs/>
          <w:color w:val="auto"/>
          <w:lang w:val="zh-CN"/>
        </w:rPr>
      </w:pPr>
      <w:r>
        <w:rPr>
          <w:rFonts w:hint="eastAsia" w:ascii="楷体_GB2312" w:hAnsi="宋体" w:eastAsia="楷体_GB2312"/>
          <w:b/>
          <w:color w:val="auto"/>
          <w:lang w:val="zh-CN"/>
        </w:rPr>
        <w:t>（一）项目实施主要流程。</w:t>
      </w:r>
      <w:r>
        <w:rPr>
          <w:rFonts w:hint="eastAsia" w:ascii="仿宋_GB2312" w:hAnsi="宋体"/>
          <w:lang w:val="zh-CN"/>
        </w:rPr>
        <w:t>学校申请→各区教育部门</w:t>
      </w:r>
      <w:r>
        <w:rPr>
          <w:rFonts w:ascii="仿宋_GB2312" w:hAnsi="宋体"/>
          <w:lang w:val="zh-CN"/>
        </w:rPr>
        <w:t>审核</w:t>
      </w:r>
      <w:r>
        <w:rPr>
          <w:rFonts w:hint="eastAsia" w:ascii="仿宋_GB2312" w:hAnsi="宋体"/>
          <w:lang w:val="zh-CN"/>
        </w:rPr>
        <w:t>→项目立项→财政评审→公开招投标→项目学校实施→资金申请→财政部门审核→国库集中支付→竣工验收→决算评审。</w:t>
      </w:r>
    </w:p>
    <w:p>
      <w:pPr>
        <w:numPr>
          <w:ilvl w:val="0"/>
          <w:numId w:val="0"/>
        </w:numPr>
        <w:ind w:leftChars="0" w:firstLine="643" w:firstLineChars="200"/>
        <w:jc w:val="left"/>
        <w:rPr>
          <w:rFonts w:ascii="仿宋_GB2312" w:hAnsi="宋体"/>
          <w:color w:val="auto"/>
          <w:lang w:val="zh-CN"/>
        </w:rPr>
      </w:pPr>
      <w:r>
        <w:rPr>
          <w:rFonts w:hint="eastAsia" w:ascii="楷体_GB2312" w:hAnsi="宋体" w:eastAsia="楷体_GB2312"/>
          <w:b/>
          <w:color w:val="auto"/>
          <w:lang w:val="zh-CN"/>
        </w:rPr>
        <w:t>（二）项目管理情况。</w:t>
      </w:r>
      <w:r>
        <w:rPr>
          <w:rFonts w:hint="eastAsia" w:ascii="仿宋_GB2312" w:hAnsi="仿宋_GB2312" w:eastAsia="仿宋_GB2312" w:cs="仿宋_GB2312"/>
          <w:b w:val="0"/>
          <w:bCs/>
          <w:color w:val="auto"/>
          <w:lang w:val="zh-CN"/>
        </w:rPr>
        <w:t>项目实施</w:t>
      </w:r>
      <w:r>
        <w:rPr>
          <w:rFonts w:hint="eastAsia" w:ascii="仿宋_GB2312" w:hAnsi="仿宋_GB2312" w:cs="仿宋_GB2312"/>
          <w:b w:val="0"/>
          <w:bCs/>
          <w:color w:val="auto"/>
          <w:lang w:val="zh-CN"/>
        </w:rPr>
        <w:t>严格</w:t>
      </w:r>
      <w:r>
        <w:rPr>
          <w:rFonts w:hint="eastAsia" w:ascii="仿宋_GB2312" w:hAnsi="宋体" w:eastAsia="仿宋_GB2312"/>
          <w:b w:val="0"/>
          <w:bCs w:val="0"/>
          <w:sz w:val="32"/>
          <w:szCs w:val="32"/>
          <w:lang w:val="en-US" w:eastAsia="zh-CN"/>
        </w:rPr>
        <w:t>按政府采购有关规定执行了招标程序</w:t>
      </w:r>
      <w:r>
        <w:rPr>
          <w:rFonts w:hint="eastAsia" w:ascii="仿宋_GB2312" w:hAnsi="宋体"/>
          <w:b w:val="0"/>
          <w:bCs w:val="0"/>
          <w:sz w:val="32"/>
          <w:szCs w:val="32"/>
          <w:lang w:val="en-US" w:eastAsia="zh-CN"/>
        </w:rPr>
        <w:t>，项目</w:t>
      </w:r>
      <w:r>
        <w:rPr>
          <w:rFonts w:hint="eastAsia" w:ascii="仿宋_GB2312" w:hAnsi="仿宋_GB2312" w:cs="仿宋_GB2312"/>
          <w:b w:val="0"/>
          <w:bCs/>
          <w:color w:val="auto"/>
          <w:lang w:val="zh-CN"/>
        </w:rPr>
        <w:t>设计、项目施工、项目监理等环节均按</w:t>
      </w:r>
      <w:r>
        <w:rPr>
          <w:rFonts w:hint="eastAsia" w:ascii="仿宋_GB2312" w:hAnsi="仿宋_GB2312" w:eastAsia="仿宋_GB2312" w:cs="仿宋_GB2312"/>
          <w:color w:val="auto"/>
          <w:lang w:val="zh-CN"/>
        </w:rPr>
        <w:t>相关法律法规及项目管理制度</w:t>
      </w:r>
      <w:r>
        <w:rPr>
          <w:rFonts w:hint="eastAsia" w:ascii="仿宋_GB2312" w:hAnsi="仿宋_GB2312" w:cs="仿宋_GB2312"/>
          <w:color w:val="auto"/>
          <w:lang w:val="zh-CN"/>
        </w:rPr>
        <w:t>执行。</w:t>
      </w:r>
      <w:r>
        <w:rPr>
          <w:rFonts w:hint="eastAsia" w:ascii="仿宋_GB2312" w:hAnsi="宋体"/>
          <w:color w:val="auto"/>
          <w:lang w:val="zh-CN"/>
        </w:rPr>
        <w:t>项目实施单位财务管理制度健全，</w:t>
      </w:r>
      <w:r>
        <w:rPr>
          <w:rFonts w:hint="eastAsia" w:ascii="仿宋_GB2312" w:hAnsi="宋体"/>
          <w:szCs w:val="32"/>
          <w:lang w:val="zh-CN"/>
        </w:rPr>
        <w:t>严格按财务管理制度执行，会计核算及账务处理规范。</w:t>
      </w:r>
      <w:r>
        <w:rPr>
          <w:rFonts w:hint="eastAsia" w:ascii="仿宋_GB2312" w:hAnsi="仿宋_GB2312" w:eastAsia="仿宋_GB2312" w:cs="仿宋_GB2312"/>
          <w:sz w:val="32"/>
          <w:szCs w:val="32"/>
          <w:lang w:val="en-US" w:eastAsia="zh-CN"/>
        </w:rPr>
        <w:t>坚持“六统一管理”的原则。严格按照基建程序和项目管理的要求及相关法律法规，做好项目建设管理工作。由县级</w:t>
      </w:r>
      <w:r>
        <w:rPr>
          <w:rFonts w:hint="eastAsia" w:ascii="仿宋_GB2312" w:hAnsi="仿宋_GB2312" w:cs="仿宋_GB2312"/>
          <w:sz w:val="32"/>
          <w:szCs w:val="32"/>
          <w:lang w:val="en-US" w:eastAsia="zh-CN"/>
        </w:rPr>
        <w:t>教育主管部门</w:t>
      </w:r>
      <w:r>
        <w:rPr>
          <w:rFonts w:hint="eastAsia" w:ascii="仿宋_GB2312" w:hAnsi="仿宋_GB2312" w:eastAsia="仿宋_GB2312" w:cs="仿宋_GB2312"/>
          <w:sz w:val="32"/>
          <w:szCs w:val="32"/>
          <w:lang w:val="en-US" w:eastAsia="zh-CN"/>
        </w:rPr>
        <w:t>负责组织对本地农村中小学校舍维修改造项目统一进行勘察设计、统一招标、统一工程管理、统一监理、统一竣工验收、统一资金管理，确保项目施工进度和工程建设质量。</w:t>
      </w:r>
    </w:p>
    <w:p>
      <w:pPr>
        <w:numPr>
          <w:ilvl w:val="0"/>
          <w:numId w:val="0"/>
        </w:numPr>
        <w:ind w:leftChars="0" w:firstLine="643" w:firstLineChars="200"/>
        <w:jc w:val="left"/>
        <w:rPr>
          <w:rFonts w:ascii="仿宋_GB2312" w:hAnsi="宋体"/>
          <w:color w:val="auto"/>
          <w:lang w:val="zh-CN"/>
        </w:rPr>
      </w:pPr>
      <w:r>
        <w:rPr>
          <w:rFonts w:hint="eastAsia" w:ascii="楷体_GB2312" w:hAnsi="宋体" w:eastAsia="楷体_GB2312"/>
          <w:b/>
          <w:color w:val="auto"/>
          <w:lang w:val="zh-CN"/>
        </w:rPr>
        <w:t>（三）项目监管情况。</w:t>
      </w:r>
      <w:r>
        <w:rPr>
          <w:rFonts w:hint="eastAsia" w:ascii="仿宋_GB2312" w:hAnsi="宋体"/>
          <w:color w:val="auto"/>
          <w:lang w:val="zh-CN"/>
        </w:rPr>
        <w:t>各</w:t>
      </w:r>
      <w:r>
        <w:rPr>
          <w:rFonts w:hint="eastAsia" w:ascii="仿宋_GB2312" w:hAnsi="仿宋_GB2312" w:eastAsia="仿宋_GB2312" w:cs="仿宋_GB2312"/>
          <w:b w:val="0"/>
          <w:bCs/>
          <w:color w:val="auto"/>
          <w:lang w:val="zh-CN"/>
        </w:rPr>
        <w:t>项目实施</w:t>
      </w:r>
      <w:r>
        <w:rPr>
          <w:rFonts w:hint="eastAsia" w:ascii="仿宋_GB2312" w:hAnsi="仿宋_GB2312" w:cs="仿宋_GB2312"/>
          <w:b w:val="0"/>
          <w:bCs/>
          <w:color w:val="auto"/>
          <w:lang w:val="zh-CN"/>
        </w:rPr>
        <w:t>过</w:t>
      </w:r>
      <w:r>
        <w:rPr>
          <w:rFonts w:hint="eastAsia" w:ascii="仿宋_GB2312" w:hAnsi="仿宋_GB2312" w:eastAsia="仿宋_GB2312" w:cs="仿宋_GB2312"/>
          <w:b w:val="0"/>
          <w:bCs/>
          <w:color w:val="auto"/>
          <w:lang w:val="zh-CN"/>
        </w:rPr>
        <w:t>程</w:t>
      </w:r>
      <w:r>
        <w:rPr>
          <w:rFonts w:hint="eastAsia" w:ascii="仿宋_GB2312" w:hAnsi="仿宋_GB2312" w:cs="仿宋_GB2312"/>
          <w:b w:val="0"/>
          <w:bCs/>
          <w:color w:val="auto"/>
          <w:lang w:val="zh-CN"/>
        </w:rPr>
        <w:t>均</w:t>
      </w:r>
      <w:r>
        <w:rPr>
          <w:rFonts w:hint="eastAsia" w:ascii="仿宋_GB2312" w:hAnsi="宋体" w:eastAsia="仿宋_GB2312"/>
          <w:b w:val="0"/>
          <w:bCs w:val="0"/>
          <w:sz w:val="32"/>
          <w:szCs w:val="32"/>
          <w:lang w:val="en-US" w:eastAsia="zh-CN"/>
        </w:rPr>
        <w:t>按照“校长负责，专家指导”的原则，成立了以校长为组长的项目资金管理领导小组，统筹管理项目资金支出</w:t>
      </w:r>
      <w:r>
        <w:rPr>
          <w:rFonts w:hint="eastAsia" w:ascii="仿宋_GB2312" w:hAnsi="宋体"/>
          <w:b w:val="0"/>
          <w:bCs w:val="0"/>
          <w:sz w:val="32"/>
          <w:szCs w:val="32"/>
          <w:lang w:val="en-US" w:eastAsia="zh-CN"/>
        </w:rPr>
        <w:t>。严格</w:t>
      </w:r>
      <w:r>
        <w:rPr>
          <w:rFonts w:hint="eastAsia" w:ascii="仿宋_GB2312" w:hAnsi="宋体" w:eastAsia="仿宋_GB2312"/>
          <w:b w:val="0"/>
          <w:bCs w:val="0"/>
          <w:sz w:val="32"/>
          <w:szCs w:val="32"/>
          <w:lang w:val="en-US" w:eastAsia="zh-CN"/>
        </w:rPr>
        <w:t>执行国家财经法规、财务制度，设置项目细账分项核算，做到专款专用，切实提高项目资金使用效益。</w:t>
      </w:r>
      <w:r>
        <w:rPr>
          <w:rFonts w:hint="eastAsia" w:ascii="仿宋_GB2312" w:hAnsi="宋体"/>
          <w:b w:val="0"/>
          <w:bCs w:val="0"/>
          <w:sz w:val="32"/>
          <w:szCs w:val="32"/>
          <w:lang w:val="en-US" w:eastAsia="zh-CN"/>
        </w:rPr>
        <w:t>市区两级教育主管部门高度重视校舍安全，强化项目监管，</w:t>
      </w:r>
      <w:r>
        <w:rPr>
          <w:rFonts w:hint="eastAsia" w:ascii="仿宋_GB2312" w:hAnsi="仿宋_GB2312" w:eastAsia="仿宋_GB2312" w:cs="仿宋_GB2312"/>
          <w:sz w:val="32"/>
          <w:szCs w:val="32"/>
          <w:lang w:val="en-US" w:eastAsia="zh-CN"/>
        </w:rPr>
        <w:t>一是建立工程质量终身责任制。由县级各责任主体单位分别签订工程建设质量责任书，划清责任，实行工程建设质量终身负责制</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二是建立定期督查制度。市</w:t>
      </w:r>
      <w:r>
        <w:rPr>
          <w:rFonts w:hint="eastAsia" w:ascii="仿宋_GB2312" w:hAnsi="仿宋_GB2312" w:cs="仿宋_GB2312"/>
          <w:sz w:val="32"/>
          <w:szCs w:val="32"/>
          <w:lang w:val="en-US" w:eastAsia="zh-CN"/>
        </w:rPr>
        <w:t>区</w:t>
      </w:r>
      <w:r>
        <w:rPr>
          <w:rFonts w:hint="eastAsia" w:ascii="仿宋_GB2312" w:hAnsi="仿宋_GB2312" w:eastAsia="仿宋_GB2312" w:cs="仿宋_GB2312"/>
          <w:sz w:val="32"/>
          <w:szCs w:val="32"/>
          <w:lang w:val="en-US" w:eastAsia="zh-CN"/>
        </w:rPr>
        <w:t>两级定期组织有关专家和人员深入学校实地对项目工程质量、工程进度进行督查，发现问题及时督促有关责任单位进行整改</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三是建立农村中小学校舍维修改造项目档案库。各区</w:t>
      </w:r>
      <w:r>
        <w:rPr>
          <w:rFonts w:hint="eastAsia" w:ascii="仿宋_GB2312" w:hAnsi="仿宋_GB2312" w:cs="仿宋_GB2312"/>
          <w:sz w:val="32"/>
          <w:szCs w:val="32"/>
          <w:lang w:val="en-US" w:eastAsia="zh-CN"/>
        </w:rPr>
        <w:t>均</w:t>
      </w:r>
      <w:r>
        <w:rPr>
          <w:rFonts w:hint="eastAsia" w:ascii="仿宋_GB2312" w:hAnsi="仿宋_GB2312" w:eastAsia="仿宋_GB2312" w:cs="仿宋_GB2312"/>
          <w:sz w:val="32"/>
          <w:szCs w:val="32"/>
          <w:lang w:val="en-US" w:eastAsia="zh-CN"/>
        </w:rPr>
        <w:t>按</w:t>
      </w:r>
      <w:r>
        <w:rPr>
          <w:rFonts w:hint="eastAsia" w:ascii="仿宋_GB2312" w:hAnsi="仿宋_GB2312" w:cs="仿宋_GB2312"/>
          <w:sz w:val="32"/>
          <w:szCs w:val="32"/>
          <w:lang w:val="en-US" w:eastAsia="zh-CN"/>
        </w:rPr>
        <w:t>要求</w:t>
      </w:r>
      <w:r>
        <w:rPr>
          <w:rFonts w:hint="eastAsia" w:ascii="仿宋_GB2312" w:hAnsi="仿宋_GB2312" w:eastAsia="仿宋_GB2312" w:cs="仿宋_GB2312"/>
          <w:sz w:val="32"/>
          <w:szCs w:val="32"/>
          <w:lang w:val="en-US" w:eastAsia="zh-CN"/>
        </w:rPr>
        <w:t>建立校舍维修改造项目档案库，对所有校舍维修改造项目工程勘察设计资料、招投标资料、工程施工资料、监理资料、竣工验收资料、工程实施前后对比图片资料等进行分类归档，实行“一校一档”，完整、永久保存。</w:t>
      </w:r>
    </w:p>
    <w:p>
      <w:pPr>
        <w:adjustRightInd w:val="0"/>
        <w:snapToGrid w:val="0"/>
        <w:spacing w:line="600" w:lineRule="exact"/>
        <w:ind w:firstLine="720"/>
        <w:rPr>
          <w:rFonts w:ascii="仿宋_GB2312" w:hAnsi="宋体"/>
          <w:color w:val="auto"/>
          <w:lang w:val="zh-CN"/>
        </w:rPr>
      </w:pPr>
      <w:r>
        <w:rPr>
          <w:rFonts w:hint="eastAsia" w:ascii="黑体" w:hAnsi="宋体" w:eastAsia="黑体"/>
          <w:color w:val="auto"/>
        </w:rPr>
        <w:t>四、项目绩效情况</w:t>
      </w:r>
      <w:r>
        <w:rPr>
          <w:rFonts w:hint="eastAsia" w:ascii="仿宋_GB2312" w:hAnsi="宋体"/>
          <w:color w:val="auto"/>
          <w:lang w:val="zh-CN"/>
        </w:rPr>
        <w:tab/>
      </w:r>
    </w:p>
    <w:p>
      <w:pPr>
        <w:adjustRightInd w:val="0"/>
        <w:snapToGrid w:val="0"/>
        <w:spacing w:line="600" w:lineRule="exact"/>
        <w:ind w:firstLine="720"/>
        <w:jc w:val="left"/>
        <w:rPr>
          <w:rFonts w:hint="eastAsia" w:ascii="仿宋_GB2312" w:hAnsi="仿宋_GB2312" w:eastAsia="仿宋_GB2312" w:cs="仿宋_GB2312"/>
          <w:color w:val="auto"/>
          <w:lang w:val="en-US" w:eastAsia="zh-CN"/>
        </w:rPr>
      </w:pPr>
      <w:r>
        <w:rPr>
          <w:rFonts w:hint="eastAsia" w:ascii="楷体_GB2312" w:hAnsi="宋体" w:eastAsia="楷体_GB2312"/>
          <w:b/>
          <w:color w:val="auto"/>
          <w:lang w:val="zh-CN"/>
        </w:rPr>
        <w:t>（一）项目完成情况。</w:t>
      </w:r>
      <w:r>
        <w:rPr>
          <w:rFonts w:hint="eastAsia" w:ascii="仿宋_GB2312" w:hAnsi="宋体"/>
          <w:color w:val="auto"/>
          <w:lang w:val="en-US" w:eastAsia="zh-CN"/>
        </w:rPr>
        <w:t>截至评价时点，各地项目已基本完成，项目资金管理、使用符合相关规定，无挤占、截留、挪用情况。项目资金严格依据合同约定按工程序时进度即时拨付。其中，市级资金已全部安排使用。</w:t>
      </w:r>
      <w:r>
        <w:rPr>
          <w:rFonts w:hint="eastAsia" w:ascii="仿宋_GB2312" w:hAnsi="仿宋_GB2312" w:eastAsia="仿宋_GB2312" w:cs="仿宋_GB2312"/>
          <w:color w:val="auto"/>
          <w:lang w:val="en-US" w:eastAsia="zh-CN"/>
        </w:rPr>
        <w:t>各地项目基本概况详见下表</w:t>
      </w:r>
      <w:r>
        <w:rPr>
          <w:rFonts w:hint="eastAsia" w:ascii="仿宋_GB2312" w:hAnsi="仿宋_GB2312" w:cs="仿宋_GB2312"/>
          <w:color w:val="auto"/>
          <w:lang w:val="en-US" w:eastAsia="zh-CN"/>
        </w:rPr>
        <w:t>。</w:t>
      </w:r>
    </w:p>
    <w:p>
      <w:pPr>
        <w:adjustRightInd w:val="0"/>
        <w:snapToGrid w:val="0"/>
        <w:spacing w:line="600" w:lineRule="exact"/>
        <w:ind w:firstLine="643" w:firstLineChars="200"/>
        <w:rPr>
          <w:rFonts w:hint="eastAsia" w:ascii="仿宋_GB2312" w:hAnsi="宋体"/>
          <w:color w:val="auto"/>
          <w:lang w:val="zh-CN"/>
        </w:rPr>
      </w:pPr>
      <w:r>
        <w:rPr>
          <w:rFonts w:hint="eastAsia" w:ascii="楷体_GB2312" w:hAnsi="宋体" w:eastAsia="楷体_GB2312"/>
          <w:b/>
          <w:color w:val="auto"/>
          <w:lang w:val="zh-CN"/>
        </w:rPr>
        <w:t>（二）项目效益情况。</w:t>
      </w:r>
      <w:r>
        <w:rPr>
          <w:rFonts w:hint="eastAsia"/>
          <w:szCs w:val="32"/>
          <w:lang w:eastAsia="zh-CN"/>
        </w:rPr>
        <w:t>项目实施</w:t>
      </w:r>
      <w:r>
        <w:rPr>
          <w:rFonts w:hint="eastAsia" w:hAnsi="Times New Roman"/>
          <w:szCs w:val="32"/>
          <w:lang w:eastAsia="zh-CN"/>
        </w:rPr>
        <w:t>预期</w:t>
      </w:r>
      <w:r>
        <w:rPr>
          <w:rFonts w:hint="eastAsia"/>
          <w:szCs w:val="32"/>
          <w:lang w:eastAsia="zh-CN"/>
        </w:rPr>
        <w:t>效益</w:t>
      </w:r>
      <w:r>
        <w:rPr>
          <w:rFonts w:hint="eastAsia" w:hAnsi="Times New Roman"/>
          <w:szCs w:val="32"/>
          <w:lang w:eastAsia="zh-CN"/>
        </w:rPr>
        <w:t>显著，一是提高了中小学校舍安全管理水平和防灾减灾能力，二是为当地的学生享受优质教育服务创造条件，三是</w:t>
      </w:r>
      <w:r>
        <w:rPr>
          <w:rFonts w:hint="eastAsia"/>
          <w:szCs w:val="32"/>
          <w:lang w:eastAsia="zh-CN"/>
        </w:rPr>
        <w:t>及时</w:t>
      </w:r>
      <w:r>
        <w:rPr>
          <w:rFonts w:hint="eastAsia" w:hAnsi="Times New Roman"/>
          <w:szCs w:val="32"/>
          <w:lang w:eastAsia="zh-CN"/>
        </w:rPr>
        <w:t>消除校舍安全隐患，合理延长</w:t>
      </w:r>
      <w:r>
        <w:rPr>
          <w:rFonts w:hint="eastAsia"/>
          <w:szCs w:val="32"/>
          <w:lang w:eastAsia="zh-CN"/>
        </w:rPr>
        <w:t>了</w:t>
      </w:r>
      <w:r>
        <w:rPr>
          <w:rFonts w:hint="eastAsia" w:hAnsi="Times New Roman"/>
          <w:szCs w:val="32"/>
          <w:lang w:eastAsia="zh-CN"/>
        </w:rPr>
        <w:t>校舍经济使用寿命。</w:t>
      </w:r>
    </w:p>
    <w:p>
      <w:pPr>
        <w:adjustRightInd w:val="0"/>
        <w:snapToGrid w:val="0"/>
        <w:spacing w:line="600" w:lineRule="exact"/>
        <w:ind w:firstLine="720"/>
        <w:jc w:val="left"/>
        <w:rPr>
          <w:rFonts w:hint="eastAsia" w:ascii="仿宋_GB2312" w:hAnsi="仿宋_GB2312" w:eastAsia="仿宋_GB2312" w:cs="仿宋_GB2312"/>
          <w:color w:val="auto"/>
          <w:lang w:val="en-US" w:eastAsia="zh-CN"/>
        </w:rPr>
      </w:pPr>
    </w:p>
    <w:p>
      <w:pPr>
        <w:adjustRightInd w:val="0"/>
        <w:snapToGrid w:val="0"/>
        <w:spacing w:line="600" w:lineRule="exact"/>
        <w:ind w:firstLine="720"/>
        <w:jc w:val="left"/>
        <w:rPr>
          <w:rFonts w:hint="eastAsia" w:ascii="仿宋_GB2312" w:hAnsi="仿宋_GB2312" w:eastAsia="仿宋_GB2312" w:cs="仿宋_GB2312"/>
          <w:color w:val="auto"/>
          <w:lang w:val="en-US" w:eastAsia="zh-CN"/>
        </w:rPr>
      </w:pPr>
    </w:p>
    <w:p>
      <w:pPr>
        <w:adjustRightInd w:val="0"/>
        <w:snapToGrid w:val="0"/>
        <w:spacing w:line="600" w:lineRule="exact"/>
        <w:jc w:val="left"/>
        <w:rPr>
          <w:rFonts w:hint="eastAsia" w:ascii="仿宋_GB2312" w:hAnsi="仿宋_GB2312" w:cs="仿宋_GB2312"/>
          <w:color w:val="auto"/>
          <w:lang w:val="en-US" w:eastAsia="zh-CN"/>
        </w:rPr>
        <w:sectPr>
          <w:pgSz w:w="11906" w:h="16838"/>
          <w:pgMar w:top="1440" w:right="1633" w:bottom="1440" w:left="1633" w:header="851" w:footer="992" w:gutter="0"/>
          <w:cols w:space="425" w:num="1"/>
          <w:docGrid w:type="lines" w:linePitch="312" w:charSpace="0"/>
        </w:sectPr>
      </w:pPr>
      <w:r>
        <w:rPr>
          <w:rFonts w:hint="eastAsia" w:ascii="仿宋_GB2312" w:hAnsi="仿宋_GB2312" w:cs="仿宋_GB2312"/>
          <w:color w:val="auto"/>
          <w:lang w:val="en-US" w:eastAsia="zh-CN"/>
        </w:rPr>
        <w:t xml:space="preserve">                                                                                               </w:t>
      </w:r>
    </w:p>
    <w:tbl>
      <w:tblP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72"/>
        <w:gridCol w:w="1188"/>
        <w:gridCol w:w="1850"/>
        <w:gridCol w:w="2745"/>
        <w:gridCol w:w="1790"/>
        <w:gridCol w:w="1780"/>
        <w:gridCol w:w="1186"/>
        <w:gridCol w:w="1189"/>
        <w:gridCol w:w="13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328" w:type="pct"/>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序号</w:t>
            </w:r>
          </w:p>
        </w:tc>
        <w:tc>
          <w:tcPr>
            <w:tcW w:w="441" w:type="pct"/>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区县</w:t>
            </w:r>
          </w:p>
        </w:tc>
        <w:tc>
          <w:tcPr>
            <w:tcW w:w="677" w:type="pct"/>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建设项目</w:t>
            </w:r>
          </w:p>
        </w:tc>
        <w:tc>
          <w:tcPr>
            <w:tcW w:w="997" w:type="pct"/>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项目内容</w:t>
            </w:r>
          </w:p>
        </w:tc>
        <w:tc>
          <w:tcPr>
            <w:tcW w:w="510" w:type="pct"/>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概算投资（万元）</w:t>
            </w:r>
          </w:p>
        </w:tc>
        <w:tc>
          <w:tcPr>
            <w:tcW w:w="1533" w:type="pct"/>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资金来源</w:t>
            </w:r>
          </w:p>
        </w:tc>
        <w:tc>
          <w:tcPr>
            <w:tcW w:w="510" w:type="pct"/>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工程形象进度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328" w:type="pct"/>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1" w:type="pct"/>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77" w:type="pct"/>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7" w:type="pct"/>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52" w:type="pct"/>
            <w:tcBorders>
              <w:top w:val="single" w:color="000000" w:sz="4" w:space="0"/>
              <w:left w:val="single" w:color="000000" w:sz="4" w:space="0"/>
              <w:bottom w:val="nil"/>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中省专项资金</w:t>
            </w:r>
          </w:p>
        </w:tc>
        <w:tc>
          <w:tcPr>
            <w:tcW w:w="440" w:type="pct"/>
            <w:tcBorders>
              <w:top w:val="single" w:color="000000" w:sz="4" w:space="0"/>
              <w:left w:val="single" w:color="000000" w:sz="4" w:space="0"/>
              <w:bottom w:val="nil"/>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市级资金</w:t>
            </w:r>
          </w:p>
        </w:tc>
        <w:tc>
          <w:tcPr>
            <w:tcW w:w="440" w:type="pct"/>
            <w:tcBorders>
              <w:top w:val="single" w:color="000000" w:sz="4" w:space="0"/>
              <w:left w:val="single" w:color="000000" w:sz="4" w:space="0"/>
              <w:bottom w:val="nil"/>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其他资金</w:t>
            </w:r>
          </w:p>
        </w:tc>
        <w:tc>
          <w:tcPr>
            <w:tcW w:w="510" w:type="pct"/>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80" w:hRule="atLeast"/>
        </w:trPr>
        <w:tc>
          <w:tcPr>
            <w:tcW w:w="328"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441"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市中区</w:t>
            </w:r>
          </w:p>
        </w:tc>
        <w:tc>
          <w:tcPr>
            <w:tcW w:w="677" w:type="pc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市中区肖坝小学新建校舍</w:t>
            </w:r>
          </w:p>
        </w:tc>
        <w:tc>
          <w:tcPr>
            <w:tcW w:w="997" w:type="pc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新建校舍建筑面积约13500平方米，以及完成绿化、设备购置等附属工程建设</w:t>
            </w:r>
          </w:p>
        </w:tc>
        <w:tc>
          <w:tcPr>
            <w:tcW w:w="51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7000</w:t>
            </w:r>
          </w:p>
        </w:tc>
        <w:tc>
          <w:tcPr>
            <w:tcW w:w="652"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423.8</w:t>
            </w:r>
          </w:p>
        </w:tc>
        <w:tc>
          <w:tcPr>
            <w:tcW w:w="44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20.4</w:t>
            </w:r>
          </w:p>
        </w:tc>
        <w:tc>
          <w:tcPr>
            <w:tcW w:w="44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6555.8</w:t>
            </w:r>
          </w:p>
        </w:tc>
        <w:tc>
          <w:tcPr>
            <w:tcW w:w="51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竣工待验收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rPr>
        <w:tc>
          <w:tcPr>
            <w:tcW w:w="328"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441"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沙湾区</w:t>
            </w:r>
          </w:p>
        </w:tc>
        <w:tc>
          <w:tcPr>
            <w:tcW w:w="677" w:type="pc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沙湾区嘉农一中维修改造</w:t>
            </w:r>
          </w:p>
        </w:tc>
        <w:tc>
          <w:tcPr>
            <w:tcW w:w="997" w:type="pc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维修改造嘉农一中门卫室20平方米，主要更换门窗，剔除和重建顶棚，粉刷墙壁，地面硬化美化，水电线路更换；拆除新建隔离围墙60米</w:t>
            </w:r>
          </w:p>
        </w:tc>
        <w:tc>
          <w:tcPr>
            <w:tcW w:w="51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8.85</w:t>
            </w:r>
          </w:p>
        </w:tc>
        <w:tc>
          <w:tcPr>
            <w:tcW w:w="652"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44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3.85</w:t>
            </w:r>
          </w:p>
        </w:tc>
        <w:tc>
          <w:tcPr>
            <w:tcW w:w="51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竣工验收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0" w:hRule="atLeast"/>
        </w:trPr>
        <w:tc>
          <w:tcPr>
            <w:tcW w:w="328"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441"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五通桥区</w:t>
            </w:r>
          </w:p>
        </w:tc>
        <w:tc>
          <w:tcPr>
            <w:tcW w:w="677" w:type="pc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五通桥区冠英学校校舍维修</w:t>
            </w:r>
          </w:p>
        </w:tc>
        <w:tc>
          <w:tcPr>
            <w:tcW w:w="997" w:type="pc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拆除小青瓦屋面约600平方米，并更换为西瓦，新增校园内水、污分流排污管等</w:t>
            </w:r>
          </w:p>
        </w:tc>
        <w:tc>
          <w:tcPr>
            <w:tcW w:w="51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16.03</w:t>
            </w:r>
          </w:p>
        </w:tc>
        <w:tc>
          <w:tcPr>
            <w:tcW w:w="652"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10.1</w:t>
            </w:r>
          </w:p>
        </w:tc>
        <w:tc>
          <w:tcPr>
            <w:tcW w:w="44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5.93</w:t>
            </w:r>
          </w:p>
        </w:tc>
        <w:tc>
          <w:tcPr>
            <w:tcW w:w="51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竣工验收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40" w:hRule="atLeast"/>
        </w:trPr>
        <w:tc>
          <w:tcPr>
            <w:tcW w:w="328"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441"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金口河区</w:t>
            </w:r>
          </w:p>
        </w:tc>
        <w:tc>
          <w:tcPr>
            <w:tcW w:w="677" w:type="pc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金口河区共安彝族乡初级中学维修改造</w:t>
            </w:r>
          </w:p>
        </w:tc>
        <w:tc>
          <w:tcPr>
            <w:tcW w:w="997" w:type="pc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改造校门一个、门卫室66平方米、围墙120米、厕所72平方米、室外梯步310平方米，室外活动场地约910平方米。</w:t>
            </w:r>
          </w:p>
        </w:tc>
        <w:tc>
          <w:tcPr>
            <w:tcW w:w="51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139.33</w:t>
            </w:r>
          </w:p>
        </w:tc>
        <w:tc>
          <w:tcPr>
            <w:tcW w:w="652"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w:t>
            </w:r>
          </w:p>
        </w:tc>
        <w:tc>
          <w:tcPr>
            <w:tcW w:w="44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1.88</w:t>
            </w:r>
          </w:p>
        </w:tc>
        <w:tc>
          <w:tcPr>
            <w:tcW w:w="44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105.45</w:t>
            </w:r>
          </w:p>
        </w:tc>
        <w:tc>
          <w:tcPr>
            <w:tcW w:w="51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竣工验收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328"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441"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合计</w:t>
            </w:r>
          </w:p>
        </w:tc>
        <w:tc>
          <w:tcPr>
            <w:tcW w:w="677" w:type="pc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_</w:t>
            </w:r>
          </w:p>
        </w:tc>
        <w:tc>
          <w:tcPr>
            <w:tcW w:w="997" w:type="pc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_</w:t>
            </w:r>
          </w:p>
        </w:tc>
        <w:tc>
          <w:tcPr>
            <w:tcW w:w="51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7164.21</w:t>
            </w:r>
          </w:p>
        </w:tc>
        <w:tc>
          <w:tcPr>
            <w:tcW w:w="652"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455.8</w:t>
            </w:r>
          </w:p>
        </w:tc>
        <w:tc>
          <w:tcPr>
            <w:tcW w:w="44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37.38</w:t>
            </w:r>
          </w:p>
        </w:tc>
        <w:tc>
          <w:tcPr>
            <w:tcW w:w="44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6671.03</w:t>
            </w:r>
          </w:p>
        </w:tc>
        <w:tc>
          <w:tcPr>
            <w:tcW w:w="510" w:type="pc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bl>
    <w:p>
      <w:pPr>
        <w:adjustRightInd w:val="0"/>
        <w:snapToGrid w:val="0"/>
        <w:spacing w:line="600" w:lineRule="exact"/>
        <w:jc w:val="left"/>
        <w:rPr>
          <w:rFonts w:hint="eastAsia" w:ascii="仿宋_GB2312" w:hAnsi="仿宋_GB2312" w:cs="仿宋_GB2312"/>
          <w:color w:val="auto"/>
          <w:lang w:val="en-US" w:eastAsia="zh-CN"/>
        </w:rPr>
        <w:sectPr>
          <w:pgSz w:w="16838" w:h="11906" w:orient="landscape"/>
          <w:pgMar w:top="1633" w:right="1440" w:bottom="1633" w:left="1440" w:header="851" w:footer="992" w:gutter="0"/>
          <w:cols w:space="425" w:num="1"/>
          <w:docGrid w:type="lines" w:linePitch="312" w:charSpace="0"/>
        </w:sectPr>
      </w:pPr>
      <w:r>
        <w:rPr>
          <w:rFonts w:hint="eastAsia" w:ascii="仿宋_GB2312" w:hAnsi="仿宋_GB2312" w:cs="仿宋_GB2312"/>
          <w:color w:val="auto"/>
          <w:lang w:val="en-US" w:eastAsia="zh-CN"/>
        </w:rPr>
        <w:t xml:space="preserve">                    </w:t>
      </w:r>
      <w:bookmarkStart w:id="0" w:name="_GoBack"/>
      <w:bookmarkEnd w:id="0"/>
      <w:r>
        <w:rPr>
          <w:rFonts w:hint="eastAsia" w:ascii="仿宋_GB2312" w:hAnsi="仿宋_GB2312" w:cs="仿宋_GB2312"/>
          <w:color w:val="auto"/>
          <w:lang w:val="en-US" w:eastAsia="zh-CN"/>
        </w:rPr>
        <w:t xml:space="preserve">                                                              </w:t>
      </w:r>
    </w:p>
    <w:p>
      <w:pPr>
        <w:adjustRightInd w:val="0"/>
        <w:snapToGrid w:val="0"/>
        <w:spacing w:line="600" w:lineRule="exact"/>
        <w:ind w:firstLine="720"/>
        <w:rPr>
          <w:rFonts w:ascii="黑体" w:hAnsi="宋体" w:eastAsia="黑体"/>
          <w:color w:val="auto"/>
        </w:rPr>
      </w:pPr>
      <w:r>
        <w:rPr>
          <w:rFonts w:hint="eastAsia" w:ascii="黑体" w:hAnsi="宋体" w:eastAsia="黑体"/>
          <w:color w:val="auto"/>
        </w:rPr>
        <w:t>五、评价结论及建议</w:t>
      </w:r>
    </w:p>
    <w:p>
      <w:pPr>
        <w:adjustRightInd w:val="0"/>
        <w:snapToGrid w:val="0"/>
        <w:spacing w:line="600" w:lineRule="exact"/>
        <w:ind w:firstLine="720"/>
        <w:rPr>
          <w:rFonts w:ascii="楷体_GB2312" w:hAnsi="宋体" w:eastAsia="楷体_GB2312"/>
          <w:b/>
          <w:color w:val="auto"/>
          <w:lang w:val="zh-CN"/>
        </w:rPr>
      </w:pPr>
      <w:r>
        <w:rPr>
          <w:rFonts w:hint="eastAsia" w:ascii="楷体_GB2312" w:hAnsi="宋体" w:eastAsia="楷体_GB2312"/>
          <w:b/>
          <w:color w:val="auto"/>
          <w:lang w:val="zh-CN"/>
        </w:rPr>
        <w:t>（一）评价结论。</w:t>
      </w:r>
    </w:p>
    <w:p>
      <w:pPr>
        <w:spacing w:line="580" w:lineRule="exact"/>
        <w:ind w:firstLine="640" w:firstLineChars="200"/>
        <w:rPr>
          <w:rFonts w:hint="default" w:hAnsi="Times New Roman" w:eastAsia="仿宋_GB2312"/>
          <w:szCs w:val="32"/>
          <w:lang w:val="en-US" w:eastAsia="zh-CN"/>
        </w:rPr>
      </w:pPr>
      <w:r>
        <w:rPr>
          <w:rFonts w:hint="eastAsia" w:hAnsi="Times New Roman"/>
          <w:szCs w:val="32"/>
          <w:lang w:eastAsia="zh-CN"/>
        </w:rPr>
        <w:t>建立中小学校舍安全长效机制，实施义务教育保障机制校舍维修改造市级配套补助政策，符合国家、省相关政策要求。对提高中小学校舍安全管理水平和防灾减灾能力、为当地的学生享受优质教育服务创造条件、消除校舍安全隐患，合理延长校舍经济使用寿命具有现实意义。</w:t>
      </w:r>
      <w:r>
        <w:rPr>
          <w:rFonts w:hint="eastAsia" w:ascii="仿宋_GB2312" w:hAnsi="宋体" w:cs="仿宋_GB2312"/>
          <w:i w:val="0"/>
          <w:caps w:val="0"/>
          <w:color w:val="000000"/>
          <w:spacing w:val="0"/>
          <w:sz w:val="31"/>
          <w:szCs w:val="31"/>
          <w:shd w:val="clear" w:fill="FFFFFF"/>
          <w:lang w:eastAsia="zh-CN"/>
        </w:rPr>
        <w:t>根据</w:t>
      </w:r>
      <w:r>
        <w:rPr>
          <w:rFonts w:hint="eastAsia"/>
          <w:color w:val="auto"/>
          <w:sz w:val="32"/>
          <w:szCs w:val="32"/>
          <w:lang w:eastAsia="zh-CN"/>
        </w:rPr>
        <w:t>市对县转移支付项目支出绩效评价指标体系评分</w:t>
      </w:r>
      <w:r>
        <w:rPr>
          <w:rFonts w:hint="eastAsia"/>
          <w:color w:val="auto"/>
          <w:sz w:val="32"/>
          <w:szCs w:val="32"/>
          <w:lang w:val="en-US" w:eastAsia="zh-CN"/>
        </w:rPr>
        <w:t>100分，</w:t>
      </w:r>
      <w:r>
        <w:rPr>
          <w:rFonts w:hint="eastAsia" w:ascii="仿宋_GB2312" w:hAnsi="宋体" w:cs="仿宋_GB2312"/>
          <w:i w:val="0"/>
          <w:caps w:val="0"/>
          <w:color w:val="000000"/>
          <w:spacing w:val="0"/>
          <w:sz w:val="31"/>
          <w:szCs w:val="31"/>
          <w:shd w:val="clear" w:fill="FFFFFF"/>
          <w:lang w:eastAsia="zh-CN"/>
        </w:rPr>
        <w:t>建议项目继续实施。</w:t>
      </w:r>
    </w:p>
    <w:p>
      <w:pPr>
        <w:adjustRightInd w:val="0"/>
        <w:snapToGrid w:val="0"/>
        <w:spacing w:line="600" w:lineRule="exact"/>
        <w:ind w:firstLine="720"/>
        <w:rPr>
          <w:rFonts w:ascii="楷体_GB2312" w:hAnsi="宋体" w:eastAsia="楷体_GB2312"/>
          <w:b/>
          <w:color w:val="auto"/>
          <w:lang w:val="zh-CN"/>
        </w:rPr>
      </w:pPr>
      <w:r>
        <w:rPr>
          <w:rFonts w:hint="eastAsia" w:ascii="楷体_GB2312" w:hAnsi="宋体" w:eastAsia="楷体_GB2312"/>
          <w:b/>
          <w:color w:val="auto"/>
          <w:lang w:val="zh-CN"/>
        </w:rPr>
        <w:t>（二）存在的问题。</w:t>
      </w:r>
    </w:p>
    <w:p>
      <w:pPr>
        <w:adjustRightInd w:val="0"/>
        <w:snapToGrid w:val="0"/>
        <w:spacing w:line="600" w:lineRule="exact"/>
        <w:ind w:firstLine="720"/>
        <w:rPr>
          <w:rFonts w:hint="eastAsia" w:ascii="仿宋_GB2312" w:hAnsi="宋体"/>
          <w:color w:val="auto"/>
          <w:lang w:val="zh-CN"/>
        </w:rPr>
      </w:pPr>
      <w:r>
        <w:rPr>
          <w:rFonts w:hint="eastAsia" w:ascii="仿宋_GB2312" w:hAnsi="宋体"/>
          <w:color w:val="auto"/>
          <w:lang w:val="zh-CN"/>
        </w:rPr>
        <w:t>无</w:t>
      </w:r>
    </w:p>
    <w:p>
      <w:pPr>
        <w:adjustRightInd w:val="0"/>
        <w:snapToGrid w:val="0"/>
        <w:spacing w:line="600" w:lineRule="exact"/>
        <w:ind w:firstLine="720"/>
        <w:rPr>
          <w:rFonts w:ascii="楷体_GB2312" w:hAnsi="宋体" w:eastAsia="楷体_GB2312"/>
          <w:b/>
          <w:color w:val="auto"/>
          <w:lang w:val="zh-CN"/>
        </w:rPr>
      </w:pPr>
      <w:r>
        <w:rPr>
          <w:rFonts w:hint="eastAsia" w:ascii="楷体_GB2312" w:hAnsi="宋体" w:eastAsia="楷体_GB2312"/>
          <w:b/>
          <w:color w:val="auto"/>
          <w:lang w:val="zh-CN"/>
        </w:rPr>
        <w:t>（三）相关建议。</w:t>
      </w:r>
    </w:p>
    <w:p>
      <w:pPr>
        <w:adjustRightInd w:val="0"/>
        <w:snapToGrid w:val="0"/>
        <w:spacing w:line="600" w:lineRule="exact"/>
        <w:ind w:firstLine="640" w:firstLineChars="200"/>
        <w:rPr>
          <w:rFonts w:ascii="仿宋_GB2312" w:hAnsi="宋体"/>
          <w:color w:val="auto"/>
          <w:lang w:val="zh-CN"/>
        </w:rPr>
      </w:pPr>
      <w:r>
        <w:rPr>
          <w:rFonts w:hint="eastAsia" w:ascii="仿宋_GB2312" w:hAnsi="宋体"/>
          <w:color w:val="auto"/>
          <w:lang w:val="zh-CN"/>
        </w:rPr>
        <w:t>无</w:t>
      </w:r>
    </w:p>
    <w:p>
      <w:pPr>
        <w:rPr>
          <w:rFonts w:hint="eastAsia"/>
          <w:color w:val="auto"/>
          <w:lang w:eastAsia="zh-CN"/>
        </w:rPr>
      </w:pPr>
    </w:p>
    <w:p>
      <w:pPr>
        <w:ind w:left="1600" w:leftChars="200" w:hanging="960" w:hangingChars="300"/>
        <w:rPr>
          <w:rFonts w:hint="eastAsia" w:eastAsia="仿宋_GB2312"/>
          <w:color w:val="auto"/>
          <w:lang w:eastAsia="zh-CN"/>
        </w:rPr>
      </w:pPr>
      <w:r>
        <w:rPr>
          <w:rFonts w:hint="eastAsia"/>
          <w:color w:val="auto"/>
          <w:lang w:eastAsia="zh-CN"/>
        </w:rPr>
        <w:t>附件：</w:t>
      </w:r>
      <w:r>
        <w:rPr>
          <w:rFonts w:hint="eastAsia"/>
          <w:color w:val="auto"/>
          <w:sz w:val="32"/>
          <w:szCs w:val="32"/>
          <w:lang w:eastAsia="zh-CN"/>
        </w:rPr>
        <w:t>市对县转移支付项目支出绩效评价指标体系（义务教育保障机制校舍维修改造市级配套资金）</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FangSong_GB2312">
    <w:altName w:val="仿宋_GB2312"/>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B1813"/>
    <w:rsid w:val="002A5E78"/>
    <w:rsid w:val="003315AE"/>
    <w:rsid w:val="0049716B"/>
    <w:rsid w:val="006F6CE7"/>
    <w:rsid w:val="00C073E9"/>
    <w:rsid w:val="00E42B1E"/>
    <w:rsid w:val="01AD05F5"/>
    <w:rsid w:val="0D466608"/>
    <w:rsid w:val="0D850CC5"/>
    <w:rsid w:val="181E4ECF"/>
    <w:rsid w:val="19B536B9"/>
    <w:rsid w:val="1CEC5E47"/>
    <w:rsid w:val="1FA5427A"/>
    <w:rsid w:val="27FE0EDB"/>
    <w:rsid w:val="28324854"/>
    <w:rsid w:val="291C455A"/>
    <w:rsid w:val="2C4C2E81"/>
    <w:rsid w:val="36926D0C"/>
    <w:rsid w:val="414A628B"/>
    <w:rsid w:val="4FEA3CDE"/>
    <w:rsid w:val="5B5D7285"/>
    <w:rsid w:val="60F06808"/>
    <w:rsid w:val="673E27F9"/>
    <w:rsid w:val="6EF16389"/>
    <w:rsid w:val="79016D9C"/>
    <w:rsid w:val="7D291281"/>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2</TotalTime>
  <ScaleCrop>false</ScaleCrop>
  <LinksUpToDate>false</LinksUpToDate>
  <CharactersWithSpaces>1342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2022-06-20T06:37:44Z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